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60" w:lineRule="exact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：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萍乡市农业农村发展投资集团有限责任公司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202</w:t>
      </w:r>
      <w:r>
        <w:rPr>
          <w:rFonts w:ascii="方正小标宋简体" w:hAnsi="方正小标宋简体" w:eastAsia="方正小标宋简体" w:cs="方正小标宋简体"/>
          <w:b/>
          <w:sz w:val="36"/>
          <w:szCs w:val="36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年公开招聘笔试加分情况表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70"/>
        <w:gridCol w:w="945"/>
        <w:gridCol w:w="3770"/>
        <w:gridCol w:w="970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岗位编号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加分原因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加分分值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江丽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103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华南理工大学（985、211）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分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颜龙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102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南昌大学（211）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</w:rPr>
              <w:t xml:space="preserve">分 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凌厚斌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101 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宁夏大学 （211）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袁瑞良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101 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南昌大学 （211）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肖莎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101 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南昌大学（211）全日制研究生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6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肖而靖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101 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全日制硕士研究生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7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罗歆新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101 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中国药科大学 （211）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黄宇翔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101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华北电力大学 （211）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9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彭刚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105  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南昌大学 （211）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刘炼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107 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海南大学（211）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刘欣欣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107 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中南财经政法大学（211）</w:t>
            </w:r>
          </w:p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全日制硕士研究生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 xml:space="preserve"> 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林振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108 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全日制硕士研究生 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郭懿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107 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南昌大学 （211）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吴志青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107 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南昌大学 （211）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彭铭超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107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全日制硕士研究生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16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何文桃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104 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南昌大学（211） 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17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阳圆媛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107 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南昌大学 （211）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刘海峰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107 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南昌大学 （211）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9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唐逸弘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07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南昌大学（211） 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4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杨勇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05</w:t>
            </w:r>
          </w:p>
        </w:tc>
        <w:tc>
          <w:tcPr>
            <w:tcW w:w="37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西南大学（211） 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2分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540" w:lineRule="exac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备注：此加分情况表为网络报名初审统计，现场资格审查时将进行复审，如审查不合格将取消加分。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D7BA1"/>
    <w:rsid w:val="3F5D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wordWrap w:val="0"/>
      <w:spacing w:before="0" w:beforeAutospacing="0" w:after="0" w:afterAutospacing="0"/>
      <w:ind w:left="0" w:right="0"/>
      <w:jc w:val="left"/>
    </w:pPr>
    <w:rPr>
      <w:rFonts w:ascii="Verdana" w:hAnsi="Verdana" w:cs="Verdana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2021-04-15T07:02:00Z</dcterms:created>
  <dc:creator>好人</dc:creator>
  <cp:lastModifiedBy>好人</cp:lastModifiedBy>
  <dcterms:modified xsi:type="dcterms:W3CDTF">2021-04-15T07:02:46Z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